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>
        <w:rPr>
          <w:b/>
          <w:sz w:val="44"/>
        </w:rPr>
        <w:t>Q2PRO-X 1.2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4937760" cy="3456432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Q2PRO-X_logo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37760" cy="345643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b/>
          <w:i w:val="0"/>
          <w:sz w:val="40"/>
        </w:rPr>
        <w:t>Q2PRO-X 1.2: интерфейс, меню и консоль</w:t>
      </w:r>
    </w:p>
    <w:p>
      <w:pPr>
        <w:jc w:val="center"/>
      </w:pPr>
      <w:r>
        <w:rPr>
          <w:b w:val="0"/>
          <w:i/>
          <w:sz w:val="24"/>
        </w:rPr>
        <w:t>Режимы меню, modern chrome, масштабы, прозрачность и сохранение настроек</w:t>
      </w:r>
    </w:p>
    <w:p>
      <w:pPr>
        <w:jc w:val="center"/>
      </w:pPr>
      <w:r>
        <w:rPr>
          <w:b w:val="0"/>
          <w:i w:val="0"/>
          <w:sz w:val="20"/>
        </w:rPr>
        <w:t>Русское издание</w:t>
      </w:r>
    </w:p>
    <w:p>
      <w:pPr>
        <w:jc w:val="center"/>
      </w:pPr>
      <w:r>
        <w:rPr>
          <w:b w:val="0"/>
          <w:i w:val="0"/>
          <w:sz w:val="20"/>
        </w:rPr>
        <w:t>28 апреля 2026</w:t>
      </w:r>
    </w:p>
    <w:p>
      <w:pPr>
        <w:jc w:val="center"/>
      </w:pPr>
      <w:r>
        <w:rPr>
          <w:b w:val="0"/>
          <w:i w:val="0"/>
          <w:sz w:val="20"/>
        </w:rPr>
        <w:t>q2pro-x.com</w:t>
      </w:r>
    </w:p>
    <w:p/>
    <w:p>
      <w:pPr>
        <w:pStyle w:val="Heading1"/>
      </w:pPr>
      <w:r>
        <w:t>Оглавление</w:t>
      </w:r>
    </w:p>
    <w:p>
      <w:pPr>
        <w:pStyle w:val="ListBullet"/>
      </w:pPr>
      <w:r>
        <w:t>1. Где находятся настройки</w:t>
      </w:r>
    </w:p>
    <w:p>
      <w:pPr>
        <w:pStyle w:val="ListBullet"/>
      </w:pPr>
      <w:r>
        <w:t>2. Два режима меню</w:t>
      </w:r>
    </w:p>
    <w:p>
      <w:pPr>
        <w:pStyle w:val="ListBullet"/>
      </w:pPr>
      <w:r>
        <w:t>3. Современный визуальный стиль меню</w:t>
      </w:r>
    </w:p>
    <w:p>
      <w:pPr>
        <w:pStyle w:val="ListBullet"/>
      </w:pPr>
      <w:r>
        <w:t>4. Язык отображения и шрифты</w:t>
      </w:r>
    </w:p>
    <w:p>
      <w:pPr>
        <w:pStyle w:val="ListBullet"/>
      </w:pPr>
      <w:r>
        <w:t>5. Размеры и масштаб</w:t>
      </w:r>
    </w:p>
    <w:p>
      <w:pPr>
        <w:pStyle w:val="ListBullet"/>
      </w:pPr>
      <w:r>
        <w:t>6. Прозрачность меню, консоли и overlay</w:t>
      </w:r>
    </w:p>
    <w:p>
      <w:pPr>
        <w:pStyle w:val="ListBullet"/>
      </w:pPr>
      <w:r>
        <w:t>7. Сохранение, сброс и scopes конфигов</w:t>
      </w:r>
    </w:p>
    <w:p>
      <w:pPr>
        <w:pStyle w:val="ListBullet"/>
      </w:pPr>
      <w:r>
        <w:t>8. Быстрые рецепты</w:t>
      </w:r>
    </w:p>
    <w:p>
      <w:pPr>
        <w:pStyle w:val="ListBullet"/>
      </w:pPr>
      <w:r>
        <w:t>9. Диагностика</w:t>
      </w:r>
    </w:p>
    <w:p>
      <w:pPr>
        <w:pStyle w:val="Heading1"/>
      </w:pPr>
      <w:r>
        <w:t>Q2PRO-X 1.2: интерфейс, меню и консоль</w:t>
      </w:r>
    </w:p>
    <w:p>
      <w:r>
        <w:t>Этот документ закрывает слой интерфейса, который не относится строго к видео, звуку, демкам или сетевой игре: режимы меню, modern renderer, язык отображения, шрифты, масштаб, прозрачность и сохранение настроек.</w:t>
      </w:r>
    </w:p>
    <w:p>
      <w:pPr>
        <w:pStyle w:val="Heading2"/>
      </w:pPr>
      <w:r>
        <w:t>1. Где находятся настройки</w:t>
      </w:r>
    </w:p>
    <w:p>
      <w:pPr>
        <w:pStyle w:val="ListBullet"/>
      </w:pPr>
      <w:r>
        <w:t>Guided menu: Options -&gt; Interface Setup и Options -&gt; Config.</w:t>
      </w:r>
    </w:p>
    <w:p>
      <w:pPr>
        <w:pStyle w:val="ListBullet"/>
      </w:pPr>
      <w:r>
        <w:t>Classic Q2PRO-X menu: Q2PRO-X -&gt; config, interface size, interface alpha, crosshair.</w:t>
      </w:r>
    </w:p>
    <w:p>
      <w:pPr>
        <w:pStyle w:val="ListBullet"/>
      </w:pPr>
      <w:r>
        <w:t>Браузеры имеют собственные окна настроек: Server Browser, Cvar Browser, Demo Browser, Demo Player, Mod Help.</w:t>
      </w:r>
    </w:p>
    <w:p>
      <w:pPr>
        <w:pStyle w:val="ListBullet"/>
      </w:pPr>
      <w:r>
        <w:t>Все переменные можно найти через Cvar Browser: ищите по имени cvar или по словам menu, console, alpha, scale, browser, q2prox_cfg.</w:t>
      </w:r>
    </w:p>
    <w:p>
      <w:pPr>
        <w:pStyle w:val="Heading2"/>
      </w:pPr>
      <w:r>
        <w:t>2. Два режима меню</w:t>
      </w:r>
    </w:p>
    <w:p>
      <w:r>
        <w:t>Q2PRO-X 1.2 умеет работать в двух content-режимах меню. Это не просто цветовая тема: режим определяет, какой menu graph загружается при старте клиента.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040"/>
        <w:gridCol w:w="5040"/>
      </w:tblGrid>
      <w:tr>
        <w:tc>
          <w:tcPr>
            <w:tcW w:type="dxa" w:w="5040"/>
            <w:vAlign w:val="center"/>
          </w:tcPr>
          <w:p>
            <w:r>
              <w:t>Настройка / команда</w:t>
            </w:r>
          </w:p>
        </w:tc>
        <w:tc>
          <w:tcPr>
            <w:tcW w:type="dxa" w:w="5040"/>
            <w:vAlign w:val="center"/>
          </w:tcPr>
          <w:p>
            <w:r>
              <w:t>Значение</w:t>
            </w:r>
          </w:p>
        </w:tc>
      </w:tr>
      <w:tr>
        <w:tc>
          <w:tcPr>
            <w:tcW w:type="dxa" w:w="5040"/>
          </w:tcPr>
          <w:p>
            <w:r>
              <w:t>cl_q2prox_menu_mode 1</w:t>
            </w:r>
          </w:p>
        </w:tc>
        <w:tc>
          <w:tcPr>
            <w:tcW w:type="dxa" w:w="5040"/>
          </w:tcPr>
          <w:p>
            <w:r>
              <w:t>Guided / standalone menu. Новый рекомендуемый режим для чистой установки 1.2: большие тематические разделы, меньше смешения с legacy Q2 menu.</w:t>
            </w:r>
          </w:p>
        </w:tc>
      </w:tr>
      <w:tr>
        <w:tc>
          <w:tcPr>
            <w:tcW w:type="dxa" w:w="5040"/>
          </w:tcPr>
          <w:p>
            <w:r>
              <w:t>cl_q2prox_menu_mode 0</w:t>
            </w:r>
          </w:p>
        </w:tc>
        <w:tc>
          <w:tcPr>
            <w:tcW w:type="dxa" w:w="5040"/>
          </w:tcPr>
          <w:p>
            <w:r>
              <w:t>Classic / additive mode. Сохраняет старую Q2PRO-X надстройку поверх классического меню. Полезно тем, кто привык к прежней навигации.</w:t>
            </w:r>
          </w:p>
        </w:tc>
      </w:tr>
      <w:tr>
        <w:tc>
          <w:tcPr>
            <w:tcW w:type="dxa" w:w="5040"/>
          </w:tcPr>
          <w:p>
            <w:r>
              <w:t>-q2proxmenu2</w:t>
            </w:r>
          </w:p>
        </w:tc>
        <w:tc>
          <w:tcPr>
            <w:tcW w:type="dxa" w:w="5040"/>
          </w:tcPr>
          <w:p>
            <w:r>
              <w:t>Разовый launch flag, который форсирует guided menu для одного запуска.</w:t>
            </w:r>
          </w:p>
        </w:tc>
      </w:tr>
    </w:tbl>
    <w:p/>
    <w:p>
      <w:r>
        <w:t>Изменение cl_q2prox_menu_mode требует перезапуска, потому что menu script выбирается во время инициализации UI. В 1.2 миграция конфигов выставляет guided режим только один раз для старых конфигов без маркера версии; пользовательский выбор после этого не перетирается.</w:t>
      </w:r>
    </w:p>
    <w:p>
      <w:pPr>
        <w:pStyle w:val="Heading2"/>
      </w:pPr>
      <w:r>
        <w:t>3. Современный визуальный стиль меню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040"/>
        <w:gridCol w:w="5040"/>
      </w:tblGrid>
      <w:tr>
        <w:tc>
          <w:tcPr>
            <w:tcW w:type="dxa" w:w="5040"/>
            <w:vAlign w:val="center"/>
          </w:tcPr>
          <w:p>
            <w:r>
              <w:t>Настройка / команда</w:t>
            </w:r>
          </w:p>
        </w:tc>
        <w:tc>
          <w:tcPr>
            <w:tcW w:type="dxa" w:w="5040"/>
            <w:vAlign w:val="center"/>
          </w:tcPr>
          <w:p>
            <w:r>
              <w:t>Значение</w:t>
            </w:r>
          </w:p>
        </w:tc>
      </w:tr>
      <w:tr>
        <w:tc>
          <w:tcPr>
            <w:tcW w:type="dxa" w:w="5040"/>
          </w:tcPr>
          <w:p>
            <w:r>
              <w:t>cl_menu_visual_style 1</w:t>
            </w:r>
          </w:p>
        </w:tc>
        <w:tc>
          <w:tcPr>
            <w:tcW w:type="dxa" w:w="5040"/>
          </w:tcPr>
          <w:p>
            <w:r>
              <w:t>Modern renderer: тёмная полупрозрачная панель, акцентная линия фокуса, современные sliders, мягкие тени и Q2PRO-X wordmark.</w:t>
            </w:r>
          </w:p>
        </w:tc>
      </w:tr>
      <w:tr>
        <w:tc>
          <w:tcPr>
            <w:tcW w:type="dxa" w:w="5040"/>
          </w:tcPr>
          <w:p>
            <w:r>
              <w:t>cl_menu_visual_style 0</w:t>
            </w:r>
          </w:p>
        </w:tc>
        <w:tc>
          <w:tcPr>
            <w:tcW w:type="dxa" w:w="5040"/>
          </w:tcPr>
          <w:p>
            <w:r>
              <w:t>Legacy renderer: старое text-and-bitmap отображение, поведенчески совместимое с классическим Q2/Q2PRO.</w:t>
            </w:r>
          </w:p>
        </w:tc>
      </w:tr>
      <w:tr>
        <w:tc>
          <w:tcPr>
            <w:tcW w:type="dxa" w:w="5040"/>
          </w:tcPr>
          <w:p>
            <w:r>
              <w:t>cl_menu_modern_autoscale 1</w:t>
            </w:r>
          </w:p>
        </w:tc>
        <w:tc>
          <w:tcPr>
            <w:tcW w:type="dxa" w:w="5040"/>
          </w:tcPr>
          <w:p>
            <w:r>
              <w:t>Автоподбор масштаба modern menu при ui_scale 0. Помогает на маленьких разрешениях и 4K.</w:t>
            </w:r>
          </w:p>
        </w:tc>
      </w:tr>
      <w:tr>
        <w:tc>
          <w:tcPr>
            <w:tcW w:type="dxa" w:w="5040"/>
          </w:tcPr>
          <w:p>
            <w:r>
              <w:t>ui_scale</w:t>
            </w:r>
          </w:p>
        </w:tc>
        <w:tc>
          <w:tcPr>
            <w:tcW w:type="dxa" w:w="5040"/>
          </w:tcPr>
          <w:p>
            <w:r>
              <w:t>Ручной масштаб UI. Значение 0 означает auto; явное значение всегда сильнее modern autoscale.</w:t>
            </w:r>
          </w:p>
        </w:tc>
      </w:tr>
    </w:tbl>
    <w:p/>
    <w:p>
      <w:r>
        <w:t>cl_menu_visual_style переключается live и не меняет cl_q2prox_menu_mode. Это удобно: можно оставить guided content, но временно вернуться к legacy renderer для сравнения.</w:t>
      </w:r>
    </w:p>
    <w:p>
      <w:pPr>
        <w:pStyle w:val="Heading2"/>
      </w:pPr>
      <w:r>
        <w:t>4. Язык отображения и шрифты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040"/>
        <w:gridCol w:w="5040"/>
      </w:tblGrid>
      <w:tr>
        <w:tc>
          <w:tcPr>
            <w:tcW w:type="dxa" w:w="5040"/>
            <w:vAlign w:val="center"/>
          </w:tcPr>
          <w:p>
            <w:r>
              <w:t>Настройка / команда</w:t>
            </w:r>
          </w:p>
        </w:tc>
        <w:tc>
          <w:tcPr>
            <w:tcW w:type="dxa" w:w="5040"/>
            <w:vAlign w:val="center"/>
          </w:tcPr>
          <w:p>
            <w:r>
              <w:t>Значение</w:t>
            </w:r>
          </w:p>
        </w:tc>
      </w:tr>
      <w:tr>
        <w:tc>
          <w:tcPr>
            <w:tcW w:type="dxa" w:w="5040"/>
          </w:tcPr>
          <w:p>
            <w:r>
              <w:t>cl_console_utf8_ru</w:t>
            </w:r>
          </w:p>
        </w:tc>
        <w:tc>
          <w:tcPr>
            <w:tcW w:type="dxa" w:w="5040"/>
          </w:tcPr>
          <w:p>
            <w:r>
              <w:t>Глобальная русская display-localization: консольные сообщения, подсказки меню и часть overlay UI. Это не включает русский ввод и не меняет парсер команд.</w:t>
            </w:r>
          </w:p>
        </w:tc>
      </w:tr>
      <w:tr>
        <w:tc>
          <w:tcPr>
            <w:tcW w:type="dxa" w:w="5040"/>
          </w:tcPr>
          <w:p>
            <w:r>
              <w:t>cl_menu_utf8_ru</w:t>
            </w:r>
          </w:p>
        </w:tc>
        <w:tc>
          <w:tcPr>
            <w:tcW w:type="dxa" w:w="5040"/>
          </w:tcPr>
          <w:p>
            <w:r>
              <w:t>Переопределение языка только для меню: inherit / English / Russian. Переключается live.</w:t>
            </w:r>
          </w:p>
        </w:tc>
      </w:tr>
      <w:tr>
        <w:tc>
          <w:tcPr>
            <w:tcW w:type="dxa" w:w="5040"/>
          </w:tcPr>
          <w:p>
            <w:r>
              <w:t>cl_menu_font_mode</w:t>
            </w:r>
          </w:p>
        </w:tc>
        <w:tc>
          <w:tcPr>
            <w:tcW w:type="dxa" w:w="5040"/>
          </w:tcPr>
          <w:p>
            <w:r>
              <w:t>Шрифт игрового меню: legacy или Jost Medieval. Меняет только меню.</w:t>
            </w:r>
          </w:p>
        </w:tc>
      </w:tr>
      <w:tr>
        <w:tc>
          <w:tcPr>
            <w:tcW w:type="dxa" w:w="5040"/>
          </w:tcPr>
          <w:p>
            <w:r>
              <w:t>cl_console_font_mode</w:t>
            </w:r>
          </w:p>
        </w:tc>
        <w:tc>
          <w:tcPr>
            <w:tcW w:type="dxa" w:w="5040"/>
          </w:tcPr>
          <w:p>
            <w:r>
              <w:t>Шрифт консоли: legacy conchars или San Francisco UI Text atlas.</w:t>
            </w:r>
          </w:p>
        </w:tc>
      </w:tr>
      <w:tr>
        <w:tc>
          <w:tcPr>
            <w:tcW w:type="dxa" w:w="5040"/>
          </w:tcPr>
          <w:p>
            <w:r>
              <w:t>cl_browser_font_mode</w:t>
            </w:r>
          </w:p>
        </w:tc>
        <w:tc>
          <w:tcPr>
            <w:tcW w:type="dxa" w:w="5040"/>
          </w:tcPr>
          <w:p>
            <w:r>
              <w:t>Шрифт server/cvar/demo browser, demo player chrome и modhelp UI.</w:t>
            </w:r>
          </w:p>
        </w:tc>
      </w:tr>
      <w:tr>
        <w:tc>
          <w:tcPr>
            <w:tcW w:type="dxa" w:w="5040"/>
          </w:tcPr>
          <w:p>
            <w:r>
              <w:t>cl_hud_font_mode</w:t>
            </w:r>
          </w:p>
        </w:tc>
        <w:tc>
          <w:tcPr>
            <w:tcW w:type="dxa" w:w="5040"/>
          </w:tcPr>
          <w:p>
            <w:r>
              <w:t>Шрифт доверенных HUD/local overlays Q2PRO-X.</w:t>
            </w:r>
          </w:p>
        </w:tc>
      </w:tr>
    </w:tbl>
    <w:p/>
    <w:p>
      <w:r>
        <w:t>Важно разделять язык отображения и ввод текста. Русский ввод, автотранслит и /en перевод описаны в Network Play guide, потому что это сетевой сценарий общения.</w:t>
      </w:r>
    </w:p>
    <w:p>
      <w:pPr>
        <w:pStyle w:val="Heading2"/>
      </w:pPr>
      <w:r>
        <w:t>5. Размеры и масштаб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040"/>
        <w:gridCol w:w="5040"/>
      </w:tblGrid>
      <w:tr>
        <w:tc>
          <w:tcPr>
            <w:tcW w:type="dxa" w:w="5040"/>
            <w:vAlign w:val="center"/>
          </w:tcPr>
          <w:p>
            <w:r>
              <w:t>Настройка / команда</w:t>
            </w:r>
          </w:p>
        </w:tc>
        <w:tc>
          <w:tcPr>
            <w:tcW w:type="dxa" w:w="5040"/>
            <w:vAlign w:val="center"/>
          </w:tcPr>
          <w:p>
            <w:r>
              <w:t>Значение</w:t>
            </w:r>
          </w:p>
        </w:tc>
      </w:tr>
      <w:tr>
        <w:tc>
          <w:tcPr>
            <w:tcW w:type="dxa" w:w="5040"/>
          </w:tcPr>
          <w:p>
            <w:r>
              <w:t>viewsize</w:t>
            </w:r>
          </w:p>
        </w:tc>
        <w:tc>
          <w:tcPr>
            <w:tcW w:type="dxa" w:w="5040"/>
          </w:tcPr>
          <w:p>
            <w:r>
              <w:t>Размер игрового view area.</w:t>
            </w:r>
          </w:p>
        </w:tc>
      </w:tr>
      <w:tr>
        <w:tc>
          <w:tcPr>
            <w:tcW w:type="dxa" w:w="5040"/>
          </w:tcPr>
          <w:p>
            <w:r>
              <w:t>scr_scale</w:t>
            </w:r>
          </w:p>
        </w:tc>
        <w:tc>
          <w:tcPr>
            <w:tcW w:type="dxa" w:w="5040"/>
          </w:tcPr>
          <w:p>
            <w:r>
              <w:t>Базовый масштаб 2D HUD/статусных элементов.</w:t>
            </w:r>
          </w:p>
        </w:tc>
      </w:tr>
      <w:tr>
        <w:tc>
          <w:tcPr>
            <w:tcW w:type="dxa" w:w="5040"/>
          </w:tcPr>
          <w:p>
            <w:r>
              <w:t>con_scale</w:t>
            </w:r>
          </w:p>
        </w:tc>
        <w:tc>
          <w:tcPr>
            <w:tcW w:type="dxa" w:w="5040"/>
          </w:tcPr>
          <w:p>
            <w:r>
              <w:t>Масштаб консоли.</w:t>
            </w:r>
          </w:p>
        </w:tc>
      </w:tr>
      <w:tr>
        <w:tc>
          <w:tcPr>
            <w:tcW w:type="dxa" w:w="5040"/>
          </w:tcPr>
          <w:p>
            <w:r>
              <w:t>ui_scale</w:t>
            </w:r>
          </w:p>
        </w:tc>
        <w:tc>
          <w:tcPr>
            <w:tcW w:type="dxa" w:w="5040"/>
          </w:tcPr>
          <w:p>
            <w:r>
              <w:t>Масштаб игрового меню.</w:t>
            </w:r>
          </w:p>
        </w:tc>
      </w:tr>
      <w:tr>
        <w:tc>
          <w:tcPr>
            <w:tcW w:type="dxa" w:w="5040"/>
          </w:tcPr>
          <w:p>
            <w:r>
              <w:t>scr_lag_draw</w:t>
            </w:r>
          </w:p>
        </w:tc>
        <w:tc>
          <w:tcPr>
            <w:tcW w:type="dxa" w:w="5040"/>
          </w:tcPr>
          <w:p>
            <w:r>
              <w:t>Показ lag meter.</w:t>
            </w:r>
          </w:p>
        </w:tc>
      </w:tr>
      <w:tr>
        <w:tc>
          <w:tcPr>
            <w:tcW w:type="dxa" w:w="5040"/>
          </w:tcPr>
          <w:p>
            <w:r>
              <w:t>scr_demobar</w:t>
            </w:r>
          </w:p>
        </w:tc>
        <w:tc>
          <w:tcPr>
            <w:tcW w:type="dxa" w:w="5040"/>
          </w:tcPr>
          <w:p>
            <w:r>
              <w:t>Показ demo bar.</w:t>
            </w:r>
          </w:p>
        </w:tc>
      </w:tr>
    </w:tbl>
    <w:p/>
    <w:p>
      <w:r>
        <w:t>Для браузеров и новых overlay лучше использовать их собственные scale cvars, а не разгонять scr_scale на весь клиент. Так можно сделать крупнее только нужное окно.</w:t>
      </w:r>
    </w:p>
    <w:p>
      <w:pPr>
        <w:pStyle w:val="Heading2"/>
      </w:pPr>
      <w:r>
        <w:t>6. Прозрачность меню, консоли и overlay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040"/>
        <w:gridCol w:w="5040"/>
      </w:tblGrid>
      <w:tr>
        <w:tc>
          <w:tcPr>
            <w:tcW w:type="dxa" w:w="5040"/>
            <w:vAlign w:val="center"/>
          </w:tcPr>
          <w:p>
            <w:r>
              <w:t>Настройка / команда</w:t>
            </w:r>
          </w:p>
        </w:tc>
        <w:tc>
          <w:tcPr>
            <w:tcW w:type="dxa" w:w="5040"/>
            <w:vAlign w:val="center"/>
          </w:tcPr>
          <w:p>
            <w:r>
              <w:t>Значение</w:t>
            </w:r>
          </w:p>
        </w:tc>
      </w:tr>
      <w:tr>
        <w:tc>
          <w:tcPr>
            <w:tcW w:type="dxa" w:w="5040"/>
          </w:tcPr>
          <w:p>
            <w:r>
              <w:t>scr_alpha</w:t>
            </w:r>
          </w:p>
        </w:tc>
        <w:tc>
          <w:tcPr>
            <w:tcW w:type="dxa" w:w="5040"/>
          </w:tcPr>
          <w:p>
            <w:r>
              <w:t>Общая прозрачность части 2D UI.</w:t>
            </w:r>
          </w:p>
        </w:tc>
      </w:tr>
      <w:tr>
        <w:tc>
          <w:tcPr>
            <w:tcW w:type="dxa" w:w="5040"/>
          </w:tcPr>
          <w:p>
            <w:r>
              <w:t>con_alpha</w:t>
            </w:r>
          </w:p>
        </w:tc>
        <w:tc>
          <w:tcPr>
            <w:tcW w:type="dxa" w:w="5040"/>
          </w:tcPr>
          <w:p>
            <w:r>
              <w:t>Прозрачность консоли.</w:t>
            </w:r>
          </w:p>
        </w:tc>
      </w:tr>
      <w:tr>
        <w:tc>
          <w:tcPr>
            <w:tcW w:type="dxa" w:w="5040"/>
          </w:tcPr>
          <w:p>
            <w:r>
              <w:t>cl_menu_alpha</w:t>
            </w:r>
          </w:p>
        </w:tc>
        <w:tc>
          <w:tcPr>
            <w:tcW w:type="dxa" w:w="5040"/>
          </w:tcPr>
          <w:p>
            <w:r>
              <w:t>Прозрачность меню.</w:t>
            </w:r>
          </w:p>
        </w:tc>
      </w:tr>
      <w:tr>
        <w:tc>
          <w:tcPr>
            <w:tcW w:type="dxa" w:w="5040"/>
          </w:tcPr>
          <w:p>
            <w:r>
              <w:t>cl_serverbrowser_alpha / cl_serverbrowser_scale</w:t>
            </w:r>
          </w:p>
        </w:tc>
        <w:tc>
          <w:tcPr>
            <w:tcW w:type="dxa" w:w="5040"/>
          </w:tcPr>
          <w:p>
            <w:r>
              <w:t>Отдельная прозрачность и масштаб server browser overlay.</w:t>
            </w:r>
          </w:p>
        </w:tc>
      </w:tr>
      <w:tr>
        <w:tc>
          <w:tcPr>
            <w:tcW w:type="dxa" w:w="5040"/>
          </w:tcPr>
          <w:p>
            <w:r>
              <w:t>cl_cvar_browser_alpha / cl_cvar_browser_scale</w:t>
            </w:r>
          </w:p>
        </w:tc>
        <w:tc>
          <w:tcPr>
            <w:tcW w:type="dxa" w:w="5040"/>
          </w:tcPr>
          <w:p>
            <w:r>
              <w:t>Отдельная прозрачность и масштаб cvar browser overlay.</w:t>
            </w:r>
          </w:p>
        </w:tc>
      </w:tr>
      <w:tr>
        <w:tc>
          <w:tcPr>
            <w:tcW w:type="dxa" w:w="5040"/>
          </w:tcPr>
          <w:p>
            <w:r>
              <w:t>cl_demo_browser_alpha / cl_demo_browser_scale</w:t>
            </w:r>
          </w:p>
        </w:tc>
        <w:tc>
          <w:tcPr>
            <w:tcW w:type="dxa" w:w="5040"/>
          </w:tcPr>
          <w:p>
            <w:r>
              <w:t>Отдельная прозрачность и масштаб demo browser overlay.</w:t>
            </w:r>
          </w:p>
        </w:tc>
      </w:tr>
      <w:tr>
        <w:tc>
          <w:tcPr>
            <w:tcW w:type="dxa" w:w="5040"/>
          </w:tcPr>
          <w:p>
            <w:r>
              <w:t>cl_demoplayer_overlay_alpha / cl_demoplayer_overlay_scale</w:t>
            </w:r>
          </w:p>
        </w:tc>
        <w:tc>
          <w:tcPr>
            <w:tcW w:type="dxa" w:w="5040"/>
          </w:tcPr>
          <w:p>
            <w:r>
              <w:t>Отдельная прозрачность и масштаб demo player overlay.</w:t>
            </w:r>
          </w:p>
        </w:tc>
      </w:tr>
      <w:tr>
        <w:tc>
          <w:tcPr>
            <w:tcW w:type="dxa" w:w="5040"/>
          </w:tcPr>
          <w:p>
            <w:r>
              <w:t>cl_modhelp_alpha / cl_modhelp_scale</w:t>
            </w:r>
          </w:p>
        </w:tc>
        <w:tc>
          <w:tcPr>
            <w:tcW w:type="dxa" w:w="5040"/>
          </w:tcPr>
          <w:p>
            <w:r>
              <w:t>Отдельная прозрачность и масштаб mod help overlay.</w:t>
            </w:r>
          </w:p>
        </w:tc>
      </w:tr>
    </w:tbl>
    <w:p/>
    <w:p>
      <w:r>
        <w:t>Многие overlay намеренно независимы от scr_alpha. Это позволяет сделать, например, консоль полупрозрачной, но оставить demo player читаемым, или наоборот.</w:t>
      </w:r>
    </w:p>
    <w:p>
      <w:pPr>
        <w:pStyle w:val="Heading2"/>
      </w:pPr>
      <w:r>
        <w:t>7. Сохранение, сброс и scopes конфигов</w:t>
      </w:r>
    </w:p>
    <w:p>
      <w:r>
        <w:t>В 1.2 Q2PRO-X делит настройки на GLOBAL, LOCAL и demo_visual. Это защищает пользователя от ситуации, когда графика демок или mod-local подсветки случайно портят общий конфиг.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040"/>
        <w:gridCol w:w="5040"/>
      </w:tblGrid>
      <w:tr>
        <w:tc>
          <w:tcPr>
            <w:tcW w:type="dxa" w:w="5040"/>
            <w:vAlign w:val="center"/>
          </w:tcPr>
          <w:p>
            <w:r>
              <w:t>Настройка / команда</w:t>
            </w:r>
          </w:p>
        </w:tc>
        <w:tc>
          <w:tcPr>
            <w:tcW w:type="dxa" w:w="5040"/>
            <w:vAlign w:val="center"/>
          </w:tcPr>
          <w:p>
            <w:r>
              <w:t>Значение</w:t>
            </w:r>
          </w:p>
        </w:tc>
      </w:tr>
      <w:tr>
        <w:tc>
          <w:tcPr>
            <w:tcW w:type="dxa" w:w="5040"/>
          </w:tcPr>
          <w:p>
            <w:r>
              <w:t>baseq2/q2pro-x/q2pro-x.cfg</w:t>
            </w:r>
          </w:p>
        </w:tc>
        <w:tc>
          <w:tcPr>
            <w:tcW w:type="dxa" w:w="5040"/>
          </w:tcPr>
          <w:p>
            <w:r>
              <w:t>GLOBAL настройки: меню, UI, voice, перевод, общие параметры клиента.</w:t>
            </w:r>
          </w:p>
        </w:tc>
      </w:tr>
      <w:tr>
        <w:tc>
          <w:tcPr>
            <w:tcW w:type="dxa" w:w="5040"/>
          </w:tcPr>
          <w:p>
            <w:r>
              <w:t>baseq2/q2pro-x/q2pro-x.local.cfg</w:t>
            </w:r>
          </w:p>
        </w:tc>
        <w:tc>
          <w:tcPr>
            <w:tcW w:type="dxa" w:w="5040"/>
          </w:tcPr>
          <w:p>
            <w:r>
              <w:t>LOCAL настройки без активного fs_game.</w:t>
            </w:r>
          </w:p>
        </w:tc>
      </w:tr>
      <w:tr>
        <w:tc>
          <w:tcPr>
            <w:tcW w:type="dxa" w:w="5040"/>
          </w:tcPr>
          <w:p>
            <w:r>
              <w:t>&lt;gamedir&gt;/q2pro-x/q2pro-x.cfg</w:t>
            </w:r>
          </w:p>
        </w:tc>
        <w:tc>
          <w:tcPr>
            <w:tcW w:type="dxa" w:w="5040"/>
          </w:tcPr>
          <w:p>
            <w:r>
              <w:t>LOCAL настройки конкретного мода во время обычной игры.</w:t>
            </w:r>
          </w:p>
        </w:tc>
      </w:tr>
      <w:tr>
        <w:tc>
          <w:tcPr>
            <w:tcW w:type="dxa" w:w="5040"/>
          </w:tcPr>
          <w:p>
            <w:r>
              <w:t>baseq2/q2pro-x/demo_visual/q2pro-x.demo.cfg</w:t>
            </w:r>
          </w:p>
        </w:tc>
        <w:tc>
          <w:tcPr>
            <w:tcW w:type="dxa" w:w="5040"/>
          </w:tcPr>
          <w:p>
            <w:r>
              <w:t>Единый visual profile для просмотра .dm2/.mvd2 демок независимо от мода записи.</w:t>
            </w:r>
          </w:p>
        </w:tc>
      </w:tr>
      <w:tr>
        <w:tc>
          <w:tcPr>
            <w:tcW w:type="dxa" w:w="5040"/>
          </w:tcPr>
          <w:p>
            <w:r>
              <w:t>cl_q2prox_cfg_autosave</w:t>
            </w:r>
          </w:p>
        </w:tc>
        <w:tc>
          <w:tcPr>
            <w:tcW w:type="dxa" w:w="5040"/>
          </w:tcPr>
          <w:p>
            <w:r>
              <w:t>Автосохранение Q2PRO-X cvars после изменений в меню/консоли. В 1.2 default = 1.</w:t>
            </w:r>
          </w:p>
        </w:tc>
      </w:tr>
      <w:tr>
        <w:tc>
          <w:tcPr>
            <w:tcW w:type="dxa" w:w="5040"/>
          </w:tcPr>
          <w:p>
            <w:r>
              <w:t>cl_q2prox_cfg_version</w:t>
            </w:r>
          </w:p>
        </w:tc>
        <w:tc>
          <w:tcPr>
            <w:tcW w:type="dxa" w:w="5040"/>
          </w:tcPr>
          <w:p>
            <w:r>
              <w:t>Маркер схемы конфига. Если старый конфиг не знает про 1.2, клиент один раз применяет allowlisted recommended defaults.</w:t>
            </w:r>
          </w:p>
        </w:tc>
      </w:tr>
    </w:tbl>
    <w:p/>
    <w:p>
      <w:pPr>
        <w:pStyle w:val="ListBullet"/>
      </w:pPr>
      <w:r>
        <w:t>q2prox_cfg_save - сохранить global + local часть.</w:t>
      </w:r>
    </w:p>
    <w:p>
      <w:pPr>
        <w:pStyle w:val="ListBullet"/>
      </w:pPr>
      <w:r>
        <w:t>q2prox_cfg_save_global - сохранить только global target.</w:t>
      </w:r>
    </w:p>
    <w:p>
      <w:pPr>
        <w:pStyle w:val="ListBullet"/>
      </w:pPr>
      <w:r>
        <w:t>q2prox_cfg_save_local - сохранить mod-local target; во время демки пишет demo_visual.</w:t>
      </w:r>
    </w:p>
    <w:p>
      <w:pPr>
        <w:pStyle w:val="ListBullet"/>
      </w:pPr>
      <w:r>
        <w:t>q2prox_cfg_save_demo_visual - явно сохранить demo visual profile.</w:t>
      </w:r>
    </w:p>
    <w:p>
      <w:pPr>
        <w:pStyle w:val="ListBullet"/>
      </w:pPr>
      <w:r>
        <w:t>q2prox_cfg_defaults_global / local / demo_visual - сбросить соответствующий слой к defaults; бинды сохраняются отдельно.</w:t>
      </w:r>
    </w:p>
    <w:p>
      <w:pPr>
        <w:pStyle w:val="Heading2"/>
      </w:pPr>
      <w:r>
        <w:t>8. Быстрые рецепты</w:t>
      </w:r>
    </w:p>
    <w:p>
      <w:pPr>
        <w:pStyle w:val="ListBullet"/>
      </w:pPr>
      <w:r>
        <w:t>Хочу новый интерфейс 1.2: cl_q2prox_menu_mode 1, restart, cl_menu_visual_style 1, cl_menu_modern_autoscale 1, ui_scale 0.</w:t>
      </w:r>
    </w:p>
    <w:p>
      <w:pPr>
        <w:pStyle w:val="ListBullet"/>
      </w:pPr>
      <w:r>
        <w:t>Хочу старое меню, но современный вид: cl_q2prox_menu_mode 0, restart, cl_menu_visual_style 1.</w:t>
      </w:r>
    </w:p>
    <w:p>
      <w:pPr>
        <w:pStyle w:val="ListBullet"/>
      </w:pPr>
      <w:r>
        <w:t>Текст слишком крупный: сначала уменьшите browser/demo overlay scale, затем con_scale/ui_scale, и только потом scr_scale.</w:t>
      </w:r>
    </w:p>
    <w:p>
      <w:pPr>
        <w:pStyle w:val="ListBullet"/>
      </w:pPr>
      <w:r>
        <w:t>Текст слишком мелкий на 4K: оставьте ui_scale 0 и cl_menu_modern_autoscale 1; для браузеров поднимайте их локальный scale.</w:t>
      </w:r>
    </w:p>
    <w:p>
      <w:pPr>
        <w:pStyle w:val="ListBullet"/>
      </w:pPr>
      <w:r>
        <w:t>Демки должны выглядеть одинаково во всех модах: настраивайте visual cvars во время demo playback или используйте q2prox_cfg_save_demo_visual.</w:t>
      </w:r>
    </w:p>
    <w:p>
      <w:pPr>
        <w:pStyle w:val="Heading2"/>
      </w:pPr>
      <w:r>
        <w:t>9. Диагностика</w:t>
      </w:r>
    </w:p>
    <w:p>
      <w:pPr>
        <w:pStyle w:val="ListBullet"/>
      </w:pPr>
      <w:r>
        <w:t>Меню не стало guided после переключения: cl_q2prox_menu_mode требует restart.</w:t>
      </w:r>
    </w:p>
    <w:p>
      <w:pPr>
        <w:pStyle w:val="ListBullet"/>
      </w:pPr>
      <w:r>
        <w:t>Меню guided, но выглядит старым: проверьте cl_menu_visual_style.</w:t>
      </w:r>
    </w:p>
    <w:p>
      <w:pPr>
        <w:pStyle w:val="ListBullet"/>
      </w:pPr>
      <w:r>
        <w:t>Русский язык включился в меню, но ввод в консоли не изменился: это нормально; display-localization и input/translation - разные функции.</w:t>
      </w:r>
    </w:p>
    <w:p>
      <w:pPr>
        <w:pStyle w:val="ListBullet"/>
      </w:pPr>
      <w:r>
        <w:t>Настройка не сохранилась: проверьте cl_q2prox_cfg_autosave и выполните явный q2prox_cfg_save* для нужного target.</w:t>
      </w:r>
    </w:p>
    <w:p>
      <w:pPr>
        <w:pStyle w:val="ListBullet"/>
      </w:pPr>
      <w:r>
        <w:t>Окно браузера слишком прозрачное или мелкое: меняйте его alpha/scale cvar, а не общий scr_alpha/scr_scale.</w:t>
      </w:r>
    </w:p>
    <w:sectPr w:rsidR="00FC693F" w:rsidRPr="0006063C" w:rsidSect="00034616">
      <w:headerReference w:type="default" r:id="rId9"/>
      <w:footerReference w:type="default" r:id="rId10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rFonts w:ascii="Arial" w:hAnsi="Arial"/>
        <w:sz w:val="18"/>
      </w:rPr>
      <w:t xml:space="preserve">Q2PRO-X 1.2 | Страница </w:t>
    </w:r>
    <w:r>
      <w:fldChar w:fldCharType="begin"/>
    </w:r>
    <w:r>
      <w:instrText xml:space="preserve">PAGE</w:instrText>
    </w:r>
    <w:r>
      <w:fldChar w:fldCharType="separate"/>
    </w:r>
    <w:r>
      <w:rPr>
        <w:noProof/>
      </w:rPr>
      <w:t>1</w:t>
    </w:r>
    <w:r>
      <w:fldChar w:fldCharType="end"/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  <w:jc w:val="right"/>
    </w:pPr>
    <w:r>
      <w:rPr>
        <w:rFonts w:ascii="Arial" w:hAnsi="Arial"/>
        <w:sz w:val="18"/>
      </w:rPr>
      <w:t>Q2PRO-X 1.2: интерфейс, меню и консоль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rial" w:hAnsi="Arial"/>
      <w:color w:val="1C221C"/>
      <w:sz w:val="20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 w:ascii="Arial" w:hAnsi="Arial"/>
      <w:b/>
      <w:bCs/>
      <w:color w:val="45AD40"/>
      <w:sz w:val="34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 w:ascii="Arial" w:hAnsi="Arial"/>
      <w:b/>
      <w:bCs/>
      <w:color w:val="45AD40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 w:ascii="Arial" w:hAnsi="Arial"/>
      <w:b/>
      <w:bCs/>
      <w:color w:val="45AD40"/>
      <w:sz w:val="22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  <w:rPr>
      <w:rFonts w:ascii="Arial" w:hAnsi="Arial"/>
      <w:color w:val="1C221C"/>
      <w:sz w:val="20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  <w:rPr>
      <w:rFonts w:ascii="Arial" w:hAnsi="Arial"/>
      <w:color w:val="1C221C"/>
      <w:sz w:val="20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header" Target="header1.xml"/><Relationship Id="rId10" Type="http://schemas.openxmlformats.org/officeDocument/2006/relationships/footer" Target="footer1.xml"/><Relationship Id="rId1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1.2: интерфейс, меню и консоль</dc:title>
  <dc:subject>Режимы меню, modern chrome, масштабы, прозрачность и сохранение настроек</dc:subject>
  <dc:creator>ly</dc:creator>
  <cp:keywords>Q2PRO-X, Quake II, 1.2, documentation</cp:keywords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